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985"/>
        <w:gridCol w:w="290"/>
        <w:gridCol w:w="1417"/>
        <w:gridCol w:w="2217"/>
        <w:gridCol w:w="236"/>
        <w:gridCol w:w="2034"/>
        <w:gridCol w:w="1000"/>
      </w:tblGrid>
      <w:tr w:rsidR="008120BA" w:rsidRPr="008120BA" w:rsidTr="008120BA">
        <w:trPr>
          <w:trHeight w:val="255"/>
        </w:trPr>
        <w:tc>
          <w:tcPr>
            <w:tcW w:w="1701"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90"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3634"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Kabupaten Berau</w:t>
            </w:r>
          </w:p>
        </w:tc>
        <w:tc>
          <w:tcPr>
            <w:tcW w:w="23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034"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00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368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Komponen</w:t>
            </w:r>
          </w:p>
        </w:tc>
        <w:tc>
          <w:tcPr>
            <w:tcW w:w="290"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3634"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D. Kapasitas masyarakat Adat</w:t>
            </w:r>
          </w:p>
        </w:tc>
        <w:tc>
          <w:tcPr>
            <w:tcW w:w="23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034"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00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1701"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290"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2217"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2034"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00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3976"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Isu dalam PGA REDD+</w:t>
            </w:r>
          </w:p>
        </w:tc>
        <w:tc>
          <w:tcPr>
            <w:tcW w:w="5904"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I. Perencanaan Kehutanan dan Tata Ruang </w:t>
            </w:r>
          </w:p>
        </w:tc>
        <w:tc>
          <w:tcPr>
            <w:tcW w:w="100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660"/>
        </w:trPr>
        <w:tc>
          <w:tcPr>
            <w:tcW w:w="1701"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985"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9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904"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8120BA" w:rsidRPr="008120BA" w:rsidTr="008120BA">
        <w:trPr>
          <w:trHeight w:val="255"/>
        </w:trPr>
        <w:tc>
          <w:tcPr>
            <w:tcW w:w="368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29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5904" w:type="dxa"/>
            <w:gridSpan w:val="4"/>
            <w:tcBorders>
              <w:top w:val="nil"/>
              <w:left w:val="nil"/>
              <w:bottom w:val="nil"/>
              <w:right w:val="nil"/>
            </w:tcBorders>
            <w:shd w:val="clear" w:color="auto" w:fill="auto"/>
            <w:noWrap/>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1000"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974"/>
        <w:gridCol w:w="1562"/>
        <w:gridCol w:w="1526"/>
        <w:gridCol w:w="1188"/>
        <w:gridCol w:w="1598"/>
        <w:gridCol w:w="1053"/>
        <w:gridCol w:w="1602"/>
        <w:gridCol w:w="1382"/>
      </w:tblGrid>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78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DIa1</w:t>
            </w:r>
          </w:p>
        </w:tc>
        <w:tc>
          <w:tcPr>
            <w:tcW w:w="1562"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Kehutanan</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menjelaskan berapa banyak aktivis masyarakat adat yang memiliki data memperjuangkan aspirasi masyarakatnya dalam forum perencanaan hutan dan wilayah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Dibeberapa kampung sudang memadai. Responden tidak menjelaskan lebih lanjut tentang hal ini</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178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Tata Ruang</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menjelaskan berapa banyak aktivis masyarakat adat yang memiliki data memperjuangkan aspirasi masyarakatnya dalam forum perencanaan hutan dan wilayah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Pernah ada difasilitasi oleh LSM.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78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LSM</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menjelaskan berapa banyak aktivis masyarakat adat yang memiliki data memperjuangkan aspirasi masyarakatnya dalam forum perencanaan hutan dan wilayah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memadai dan tidak tahu karena jarang atau bahkan tidak pernah dilibatkan dalam pererncanaan hutan dan wilayah</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76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Laporan pemetaan kampung partisipatif di hulu Kelay</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kecuali hanya dengan LSM terlibat dalam perencanaan di wilayah kampung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78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Jurnalis</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menjelaskan berapa banyak aktivis masyarakat adat yang memiliki data memperjuangkan aspirasi masyarakatnya dalam forum perencanaan hutan dan wilayah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nil"/>
              <w:right w:val="nil"/>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Banyak mendampingi masayrakat adalah TNC. Tapi terkait hal yang ditanyakan kurang tahu apakah ada dan sudah memadai</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1275"/>
        </w:trPr>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DIa2</w:t>
            </w:r>
          </w:p>
        </w:tc>
        <w:tc>
          <w:tcPr>
            <w:tcW w:w="1562"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Kehutanan</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materi yang disampaikan masyarakat dalam pertemuan pembahasan perencanaan wilayah dan kehutanan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Sudah memadai,  reponden tidak menjabarkan lebih lanjut yang dimaksud</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1530"/>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Tata Ruang</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materi yang disampaikan masyarakat dalam pertemuan pembahasan perencanaan wilayah dan kehutanan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Terkait perencanaan wilayah dan kehutanan masih kurang.Tergantung siapa yang menyampaikan, ada yang asal-asalan tapi ada juga yang berpendidikan penyampaiannya bagus.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127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LSM</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materi yang disampaikan masyarakat dalam pertemuan pembahasan perencanaan wilayah dan kehutanan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dan tidak tahu, karena tidak pernah dilibatkan dalam perencanaann wilayah dan kehutanan</w:t>
            </w:r>
          </w:p>
        </w:tc>
        <w:tc>
          <w:tcPr>
            <w:tcW w:w="1382"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178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Yang penah dilakukan pembahasan pengelolaan hutan secara bersama melalui skema CFM antara masayakat dan HPH. Dokumen yang ada mengenai draft MoU CFM antara masyarakat dan HPH.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 tingkat kampung ada dan sudah memadai dengan kwalitas materi yang baik hanya pemahaman ditingkat masyarakat yang belum maksimal berdasarkan penangkapan materinya</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4</w:t>
            </w:r>
          </w:p>
        </w:tc>
      </w:tr>
      <w:tr w:rsidR="008120BA" w:rsidRPr="008120BA" w:rsidTr="008120BA">
        <w:trPr>
          <w:trHeight w:val="127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Jurnalis</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materi yang disampaikan masyarakat dalam pertemuan pembahasan perencanaan wilayah dan kehutanan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Kurang tahu materi yang disampaikan karena tidak pernah terlibat</w:t>
            </w:r>
          </w:p>
        </w:tc>
        <w:tc>
          <w:tcPr>
            <w:tcW w:w="1382"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r>
      <w:tr w:rsidR="008120BA" w:rsidRPr="008120BA" w:rsidTr="008120BA">
        <w:trPr>
          <w:trHeight w:val="73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8120BA" w:rsidRPr="008120BA" w:rsidTr="008120BA">
        <w:trPr>
          <w:trHeight w:val="330"/>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6823" w:type="dxa"/>
            <w:gridSpan w:val="5"/>
            <w:tcBorders>
              <w:top w:val="nil"/>
              <w:left w:val="nil"/>
              <w:bottom w:val="single" w:sz="4" w:space="0" w:color="auto"/>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217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DIb1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Anda mengetahui perbedaan antara kawasan lindung dan kawasan budidaya?</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053"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Mengerti sedikit perbedaanya. Lindung punya fungsi lindung seperti hutan lindung baik oleh negara atau masyarakat seperti untuk jasa lingkungan. Kawasan Budidaya yang bisa dimanfaatkan.</w:t>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3</w:t>
            </w:r>
          </w:p>
        </w:tc>
      </w:tr>
      <w:tr w:rsidR="008120BA" w:rsidRPr="008120BA" w:rsidTr="008120BA">
        <w:trPr>
          <w:trHeight w:val="1635"/>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DIb2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Anda mengetahui mengenai status kawasannya dalam perenca-naan wilayah?</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053"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Secara sepintas selalu tahu, tapi secara perencanaan kabupaten tidak tahu. Status kawasan lindung, konservasi dan budidaya yang informasinya dicuri tahu dari perusahaan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3</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r>
      <w:tr w:rsidR="008120BA" w:rsidRPr="008120BA" w:rsidTr="008120BA">
        <w:trPr>
          <w:trHeight w:val="630"/>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8120BA" w:rsidRPr="008120BA" w:rsidTr="008120BA">
        <w:trPr>
          <w:trHeight w:val="34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8120BA">
              <w:rPr>
                <w:rFonts w:ascii="Times New Roman" w:eastAsia="Times New Roman" w:hAnsi="Times New Roman" w:cs="Times New Roman"/>
                <w:b/>
                <w:bCs/>
                <w:color w:val="000000"/>
                <w:sz w:val="20"/>
                <w:szCs w:val="20"/>
                <w:lang w:eastAsia="id-ID"/>
              </w:rPr>
              <w:br/>
            </w:r>
            <w:r w:rsidRPr="008120BA">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53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DIc1</w:t>
            </w:r>
          </w:p>
        </w:tc>
        <w:tc>
          <w:tcPr>
            <w:tcW w:w="1562"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LSM</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mengenai pertimbangan yang digunakan dalam memilih wakil untuk mengikuti pertemuan perencanaan wilayah dan kehutanan.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Belum memadai, biasanya pemilihan wakil hanya mempertimbangkan keahlian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2040"/>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mengenai pertimbangan yang digunakan dalam memilih wakil untuk mengikuti pertemuan perencanaan wilayah dan kehutanan. Kalaupun ada rapatkampung tidak didokumentasika</w:t>
            </w:r>
            <w:r w:rsidRPr="008120BA">
              <w:rPr>
                <w:rFonts w:ascii="Times New Roman" w:eastAsia="Times New Roman" w:hAnsi="Times New Roman" w:cs="Times New Roman"/>
                <w:color w:val="000000"/>
                <w:sz w:val="20"/>
                <w:szCs w:val="20"/>
                <w:lang w:eastAsia="id-ID"/>
              </w:rPr>
              <w:lastRenderedPageBreak/>
              <w:t>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Pemilihan berdasarkan topik/ surat undangan. Terkait SDA misalnya Forum kampung Hulu Kelay, pemerintahan dengan kepala kampung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3</w:t>
            </w:r>
          </w:p>
        </w:tc>
      </w:tr>
      <w:tr w:rsidR="008120BA" w:rsidRPr="008120BA" w:rsidTr="008120BA">
        <w:trPr>
          <w:trHeight w:val="102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DIc2</w:t>
            </w:r>
          </w:p>
        </w:tc>
        <w:tc>
          <w:tcPr>
            <w:tcW w:w="1562"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Mekanisme pemilihan wakil</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LSM</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mengenai mekanisme pemilihan wakil dalam pertemuan tentang perencanaan wilayah dan kehutanan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memadai, biasanya tergantung pada pemerintahan kampung dan adat</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350"/>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mengenai mekanisme pemilihan wakil dalam pertemuan tentang perencanaan wilayah dan kehutanan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mekanisme berdasarkan pada undangan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215"/>
        </w:trPr>
        <w:tc>
          <w:tcPr>
            <w:tcW w:w="974"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DIc3</w:t>
            </w:r>
          </w:p>
        </w:tc>
        <w:tc>
          <w:tcPr>
            <w:tcW w:w="1562"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Forum pemilihan wakil</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LSM</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mengenai forum dalam memilih wakil untuk pertemuan tentang perencanaan wilayah dan kehutanan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1170"/>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mengenai forum dalam memilih wakil untuk pertemuan tentang perencanaan wilayah dan kehutanan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forum pemilihan lebih secara kondisional saja</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r>
      <w:tr w:rsidR="008120BA" w:rsidRPr="008120BA" w:rsidTr="008120BA">
        <w:trPr>
          <w:trHeight w:val="690"/>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8120BA" w:rsidRPr="008120BA" w:rsidTr="008120BA">
        <w:trPr>
          <w:trHeight w:val="31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786" w:type="dxa"/>
            <w:gridSpan w:val="2"/>
            <w:tcBorders>
              <w:top w:val="nil"/>
              <w:left w:val="nil"/>
              <w:bottom w:val="nil"/>
              <w:right w:val="nil"/>
            </w:tcBorders>
            <w:shd w:val="clear" w:color="auto" w:fill="auto"/>
            <w:noWrap/>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Pengurus/Anggota Masyarakat Adat/Lokal</w:t>
            </w:r>
            <w:r w:rsidRPr="008120BA">
              <w:rPr>
                <w:rFonts w:ascii="Times New Roman" w:eastAsia="Times New Roman" w:hAnsi="Times New Roman" w:cs="Times New Roman"/>
                <w:b/>
                <w:bCs/>
                <w:color w:val="000000"/>
                <w:sz w:val="20"/>
                <w:szCs w:val="20"/>
                <w:lang w:eastAsia="id-ID"/>
              </w:rPr>
              <w:br/>
            </w:r>
            <w:r w:rsidRPr="008120BA">
              <w:rPr>
                <w:rFonts w:ascii="Times New Roman" w:eastAsia="Times New Roman" w:hAnsi="Times New Roman" w:cs="Times New Roman"/>
                <w:b/>
                <w:bCs/>
                <w:color w:val="000000"/>
                <w:sz w:val="20"/>
                <w:szCs w:val="20"/>
                <w:lang w:eastAsia="id-ID"/>
              </w:rPr>
              <w:br/>
            </w:r>
          </w:p>
        </w:tc>
        <w:tc>
          <w:tcPr>
            <w:tcW w:w="1053"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DId1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Prosedur penyampaian hasil atau proses partisipasi</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menunjukkan mekanisme pelaporan yang mengatur prosedur penyampaian hasil atau proses partisipasi.</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reponden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020"/>
        </w:trPr>
        <w:tc>
          <w:tcPr>
            <w:tcW w:w="974" w:type="dxa"/>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DId2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(Standarisasi) Isi laporan hasil atau proses partisipasi</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yang menunjukkan mekanisme pelaporan, penyampaian hasil atau proses partisipasi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reponden tidak menjelaskan lebih lanjut</w:t>
            </w:r>
          </w:p>
        </w:tc>
        <w:tc>
          <w:tcPr>
            <w:tcW w:w="138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DId3</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Forum penyampaian hasil atau proses partisipasi</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yang menunjukkan mekanisme pelaporan, penyampaian hasil atau proses partisipasi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reponden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DId4</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Penetapan peserta forum penyampaian hasil atau proses partisipasi</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yang menunjukkan mekanisme pelaporan, penyampaian hasil atau proses partisipasi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reponden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02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DId5</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Mekanisme penyampaian masukan dari peserta forum</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yang menunjukkan mekanisme pelaporan, penyampaian hasil atau proses partisipasi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reponden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4062"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Isu dalam PGA REDD+</w:t>
            </w: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76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8120BA" w:rsidRPr="008120BA" w:rsidTr="008120BA">
        <w:trPr>
          <w:trHeight w:val="25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510"/>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sz w:val="20"/>
                <w:szCs w:val="20"/>
                <w:lang w:eastAsia="id-ID"/>
              </w:rPr>
            </w:pPr>
            <w:r w:rsidRPr="008120BA">
              <w:rPr>
                <w:rFonts w:ascii="Times New Roman" w:eastAsia="Times New Roman" w:hAnsi="Times New Roman" w:cs="Times New Roman"/>
                <w:sz w:val="20"/>
                <w:szCs w:val="20"/>
                <w:lang w:eastAsia="id-ID"/>
              </w:rPr>
              <w:t>DIIa1</w:t>
            </w:r>
          </w:p>
        </w:tc>
        <w:tc>
          <w:tcPr>
            <w:tcW w:w="15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sz w:val="20"/>
                <w:szCs w:val="20"/>
                <w:lang w:eastAsia="id-ID"/>
              </w:rPr>
            </w:pPr>
            <w:r w:rsidRPr="008120BA">
              <w:rPr>
                <w:rFonts w:ascii="Times New Roman" w:eastAsia="Times New Roman" w:hAnsi="Times New Roman" w:cs="Times New Roman"/>
                <w:sz w:val="20"/>
                <w:szCs w:val="20"/>
                <w:lang w:eastAsia="id-ID"/>
              </w:rPr>
              <w:t> </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Apakah jumlah pengurus atau pe-mimpin adat/masyarakat yang aktif dan </w:t>
            </w:r>
            <w:r w:rsidRPr="008120BA">
              <w:rPr>
                <w:rFonts w:ascii="Times New Roman" w:eastAsia="Times New Roman" w:hAnsi="Times New Roman" w:cs="Times New Roman"/>
                <w:color w:val="000000"/>
                <w:sz w:val="20"/>
                <w:szCs w:val="20"/>
                <w:lang w:eastAsia="id-ID"/>
              </w:rPr>
              <w:lastRenderedPageBreak/>
              <w:t>faktual memperjuangkan hak-haknya untuk mengelola hutan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Kehutanan</w:t>
            </w:r>
          </w:p>
        </w:tc>
        <w:tc>
          <w:tcPr>
            <w:tcW w:w="1598"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053"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000000" w:fill="FFFFFF"/>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Sudah memadai, responden tidak menjabarkan dari pernyataan tersebut. </w:t>
            </w:r>
          </w:p>
        </w:tc>
        <w:tc>
          <w:tcPr>
            <w:tcW w:w="1382" w:type="dxa"/>
            <w:tcBorders>
              <w:top w:val="nil"/>
              <w:left w:val="nil"/>
              <w:bottom w:val="single" w:sz="4" w:space="0" w:color="auto"/>
              <w:right w:val="single" w:sz="4" w:space="0" w:color="auto"/>
            </w:tcBorders>
            <w:shd w:val="clear" w:color="000000" w:fill="FFFFFF"/>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530"/>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LSM</w:t>
            </w:r>
          </w:p>
        </w:tc>
        <w:tc>
          <w:tcPr>
            <w:tcW w:w="1598"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053"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memadai sejauh ini belum ada secara faktual pemimpin adat atau masyarakat yang memperjuangkan hak-haknya untuk mengelola hutan. Biasaya hanya pada scope kampung saja.</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530"/>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053" w:type="dxa"/>
            <w:tcBorders>
              <w:top w:val="nil"/>
              <w:left w:val="nil"/>
              <w:bottom w:val="single" w:sz="4" w:space="0" w:color="auto"/>
              <w:right w:val="single" w:sz="4" w:space="0" w:color="auto"/>
            </w:tcBorders>
            <w:shd w:val="clear" w:color="000000" w:fill="0000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Tingkat masyarakat belum, karena penyampaian orang kampung akan disimpulkan lain oleh instansi. kesimpulannya dari dinas atau instansi terserbut tidak sesuai dengan yang ditanyakan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630"/>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8120BA" w:rsidRPr="008120BA" w:rsidTr="008120BA">
        <w:trPr>
          <w:trHeight w:val="25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6823" w:type="dxa"/>
            <w:gridSpan w:val="5"/>
            <w:tcBorders>
              <w:top w:val="nil"/>
              <w:left w:val="nil"/>
              <w:bottom w:val="single" w:sz="4" w:space="0" w:color="auto"/>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Pelaksanaan aturan</w:t>
            </w: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382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DIIb1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Draft perkam pengelolaan SDA di kampung-kampung hulu Kelay mengatur penunjukan tata guna lahan dan pengaturan zonasi hutan secata tradisional seperti wungun, kuburan, kawasan lindung air bersih dan mikrohidro, draft MoU CFM antara masayrakat dan HPH menyepakati berbagai hal salah satunya kawasan yang memiliki nikai </w:t>
            </w:r>
            <w:r w:rsidRPr="008120BA">
              <w:rPr>
                <w:rFonts w:ascii="Times New Roman" w:eastAsia="Times New Roman" w:hAnsi="Times New Roman" w:cs="Times New Roman"/>
                <w:color w:val="000000"/>
                <w:sz w:val="20"/>
                <w:szCs w:val="20"/>
                <w:lang w:eastAsia="id-ID"/>
              </w:rPr>
              <w:lastRenderedPageBreak/>
              <w:t>konservasi tinggi. Juga terdapat kesepakatan kampung-kampung Hulu Kelay tentang pertambangan emas.</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memadai, ada aturan berupa draft perkam tentang SDA tapi belum diakui atau diterima oleh pihak terkait. Hanya dimasyarakat peraturan tersebut sudah berjalan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5730"/>
        </w:trPr>
        <w:tc>
          <w:tcPr>
            <w:tcW w:w="974" w:type="dxa"/>
            <w:tcBorders>
              <w:top w:val="nil"/>
              <w:left w:val="single" w:sz="4" w:space="0" w:color="auto"/>
              <w:bottom w:val="single" w:sz="4" w:space="0" w:color="auto"/>
              <w:right w:val="single" w:sz="4" w:space="0" w:color="auto"/>
            </w:tcBorders>
            <w:shd w:val="clear" w:color="000000" w:fill="EEECE1"/>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 </w:t>
            </w:r>
          </w:p>
        </w:tc>
        <w:tc>
          <w:tcPr>
            <w:tcW w:w="9911" w:type="dxa"/>
            <w:gridSpan w:val="7"/>
            <w:tcBorders>
              <w:top w:val="single" w:sz="4" w:space="0" w:color="auto"/>
              <w:left w:val="nil"/>
              <w:bottom w:val="single" w:sz="4" w:space="0" w:color="auto"/>
              <w:right w:val="single" w:sz="4" w:space="0" w:color="000000"/>
            </w:tcBorders>
            <w:shd w:val="clear" w:color="000000" w:fill="EEECE1"/>
            <w:hideMark/>
          </w:tcPr>
          <w:p w:rsidR="008120BA" w:rsidRPr="008120BA" w:rsidRDefault="008120BA" w:rsidP="008120BA">
            <w:pPr>
              <w:spacing w:after="24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PERATURAN KAMPUNG LONG DUHUNG NOMOR: 02 TAHUN 2005 TENTANG PENGELOLAAN SUMBERDAYA ALAM SETEMPAT--                                                                       BAB V KAWASAN LINDUNG KAMPUNG Pasal 9 Kampung Lama (Asal-Usul)</w:t>
            </w:r>
            <w:r w:rsidRPr="008120BA">
              <w:rPr>
                <w:rFonts w:ascii="Times New Roman" w:eastAsia="Times New Roman" w:hAnsi="Times New Roman" w:cs="Times New Roman"/>
                <w:color w:val="000000"/>
                <w:sz w:val="20"/>
                <w:szCs w:val="20"/>
                <w:lang w:eastAsia="id-ID"/>
              </w:rPr>
              <w:br/>
              <w:t>1) Yang di maksud dengan kampung lama (asal-usul) menurut Masyarakat Long Duhung adalah Satu kawasan yang di lindungi oleh Masyarakat karena merupakan kampung asal usul nenek moyang dan didalamnya terdapat kuburan, tanaman buah, pohon madu, dan rotan,</w:t>
            </w:r>
            <w:r w:rsidRPr="008120BA">
              <w:rPr>
                <w:rFonts w:ascii="Times New Roman" w:eastAsia="Times New Roman" w:hAnsi="Times New Roman" w:cs="Times New Roman"/>
                <w:color w:val="000000"/>
                <w:sz w:val="20"/>
                <w:szCs w:val="20"/>
                <w:lang w:eastAsia="id-ID"/>
              </w:rPr>
              <w:br/>
              <w:t>2) Lokasi kampung lama di Sungai Lu, Sungai Muang dan Sungai Duhung,</w:t>
            </w:r>
            <w:r w:rsidRPr="008120BA">
              <w:rPr>
                <w:rFonts w:ascii="Times New Roman" w:eastAsia="Times New Roman" w:hAnsi="Times New Roman" w:cs="Times New Roman"/>
                <w:color w:val="000000"/>
                <w:sz w:val="20"/>
                <w:szCs w:val="20"/>
                <w:lang w:eastAsia="id-ID"/>
              </w:rPr>
              <w:br/>
              <w:t>3) Pihak manapun dilarang dengan sengaja dan atau tidak sengaja merusak daerah tersebut,</w:t>
            </w:r>
            <w:r w:rsidRPr="008120BA">
              <w:rPr>
                <w:rFonts w:ascii="Times New Roman" w:eastAsia="Times New Roman" w:hAnsi="Times New Roman" w:cs="Times New Roman"/>
                <w:color w:val="000000"/>
                <w:sz w:val="20"/>
                <w:szCs w:val="20"/>
                <w:lang w:eastAsia="id-ID"/>
              </w:rPr>
              <w:br/>
              <w:t>4) Jika ada yang dengan sengaja dan atau tidak sengaja merusak daerah tersebut akan di kenakan sanksi berdasarkan keputusan kepala kampung dan musyawarah masyarakat.</w:t>
            </w:r>
            <w:r w:rsidRPr="008120BA">
              <w:rPr>
                <w:rFonts w:ascii="Times New Roman" w:eastAsia="Times New Roman" w:hAnsi="Times New Roman" w:cs="Times New Roman"/>
                <w:color w:val="000000"/>
                <w:sz w:val="20"/>
                <w:szCs w:val="20"/>
                <w:lang w:eastAsia="id-ID"/>
              </w:rPr>
              <w:br/>
              <w:t>Pasal 10 Tanah Perburuan</w:t>
            </w:r>
            <w:r w:rsidRPr="008120BA">
              <w:rPr>
                <w:rFonts w:ascii="Times New Roman" w:eastAsia="Times New Roman" w:hAnsi="Times New Roman" w:cs="Times New Roman"/>
                <w:color w:val="000000"/>
                <w:sz w:val="20"/>
                <w:szCs w:val="20"/>
                <w:lang w:eastAsia="id-ID"/>
              </w:rPr>
              <w:br/>
              <w:t>1) Daerah berburu masyarakat kampung Long Duhung adalah Sungai Belu Nyiu, Sungai Goang, Sungai Tel’ung dan Sungai Bang,</w:t>
            </w:r>
            <w:r w:rsidRPr="008120BA">
              <w:rPr>
                <w:rFonts w:ascii="Times New Roman" w:eastAsia="Times New Roman" w:hAnsi="Times New Roman" w:cs="Times New Roman"/>
                <w:color w:val="000000"/>
                <w:sz w:val="20"/>
                <w:szCs w:val="20"/>
                <w:lang w:eastAsia="id-ID"/>
              </w:rPr>
              <w:br/>
              <w:t>2) Pihak manapun tidak diperbolehkan mengganggu daerah berburu masyarakat,</w:t>
            </w:r>
            <w:r w:rsidRPr="008120BA">
              <w:rPr>
                <w:rFonts w:ascii="Times New Roman" w:eastAsia="Times New Roman" w:hAnsi="Times New Roman" w:cs="Times New Roman"/>
                <w:color w:val="000000"/>
                <w:sz w:val="20"/>
                <w:szCs w:val="20"/>
                <w:lang w:eastAsia="id-ID"/>
              </w:rPr>
              <w:br/>
              <w:t>3) Apabila dengan sengaja dan atau tidak sengaja mengganggu daerah berburu masyarakat maka akan dikenakan sanksi berdasarkan keputusan kepala kampung dan musyawarah masyarakat.</w:t>
            </w:r>
            <w:r w:rsidRPr="008120BA">
              <w:rPr>
                <w:rFonts w:ascii="Times New Roman" w:eastAsia="Times New Roman" w:hAnsi="Times New Roman" w:cs="Times New Roman"/>
                <w:color w:val="000000"/>
                <w:sz w:val="20"/>
                <w:szCs w:val="20"/>
                <w:lang w:eastAsia="id-ID"/>
              </w:rPr>
              <w:br/>
              <w:t>Pasal 11 Tanah Kuburan</w:t>
            </w:r>
            <w:r w:rsidRPr="008120BA">
              <w:rPr>
                <w:rFonts w:ascii="Times New Roman" w:eastAsia="Times New Roman" w:hAnsi="Times New Roman" w:cs="Times New Roman"/>
                <w:color w:val="000000"/>
                <w:sz w:val="20"/>
                <w:szCs w:val="20"/>
                <w:lang w:eastAsia="id-ID"/>
              </w:rPr>
              <w:br/>
              <w:t>1) Tanah kuburan yang dimaksud adalah tanah yang didalamnya terdapat kuburan para pendahulu dari masyarakat Long Duhung maka tanah tersebut sangat dijaga kelestariannya,</w:t>
            </w:r>
            <w:r w:rsidRPr="008120BA">
              <w:rPr>
                <w:rFonts w:ascii="Times New Roman" w:eastAsia="Times New Roman" w:hAnsi="Times New Roman" w:cs="Times New Roman"/>
                <w:color w:val="000000"/>
                <w:sz w:val="20"/>
                <w:szCs w:val="20"/>
                <w:lang w:eastAsia="id-ID"/>
              </w:rPr>
              <w:br/>
              <w:t>2) Tanah kuburan masyarakat Long Duhung terdapat di Sungai Luq sampai Sungai Mengung dan tempat lain yang terdapat kuburan,</w:t>
            </w:r>
            <w:r w:rsidRPr="008120BA">
              <w:rPr>
                <w:rFonts w:ascii="Times New Roman" w:eastAsia="Times New Roman" w:hAnsi="Times New Roman" w:cs="Times New Roman"/>
                <w:color w:val="000000"/>
                <w:sz w:val="20"/>
                <w:szCs w:val="20"/>
                <w:lang w:eastAsia="id-ID"/>
              </w:rPr>
              <w:br/>
              <w:t>3) Tanah kuburan di lokasi Sungai Luq sampai Sungai Mengung tidak boleh diganggu atau dirusak dengan sengaja dan atau tidak sengaja,</w:t>
            </w:r>
            <w:r w:rsidRPr="008120BA">
              <w:rPr>
                <w:rFonts w:ascii="Times New Roman" w:eastAsia="Times New Roman" w:hAnsi="Times New Roman" w:cs="Times New Roman"/>
                <w:color w:val="000000"/>
                <w:sz w:val="20"/>
                <w:szCs w:val="20"/>
                <w:lang w:eastAsia="id-ID"/>
              </w:rPr>
              <w:br/>
              <w:t>4) Untuk lokasi kecuali di Sungai Luq sampai Sungai Mengung boleh berusaha dengan jarak 10 m²,</w:t>
            </w:r>
            <w:r w:rsidRPr="008120BA">
              <w:rPr>
                <w:rFonts w:ascii="Times New Roman" w:eastAsia="Times New Roman" w:hAnsi="Times New Roman" w:cs="Times New Roman"/>
                <w:color w:val="000000"/>
                <w:sz w:val="20"/>
                <w:szCs w:val="20"/>
                <w:lang w:eastAsia="id-ID"/>
              </w:rPr>
              <w:br/>
              <w:t>5) Jika ada yang merusak dan bekerja dengan sengaja dan atau tidak sengaja di daerah yang telah ditentukan pada pasal 11 ayat (2 dan 3) maka akan dikenakan sanksi berdasar keputusan kepala kampung dan musyawarah masyarakat.</w:t>
            </w:r>
            <w:r w:rsidRPr="008120BA">
              <w:rPr>
                <w:rFonts w:ascii="Times New Roman" w:eastAsia="Times New Roman" w:hAnsi="Times New Roman" w:cs="Times New Roman"/>
                <w:color w:val="000000"/>
                <w:sz w:val="20"/>
                <w:szCs w:val="20"/>
                <w:lang w:eastAsia="id-ID"/>
              </w:rPr>
              <w:br/>
              <w:t>Pasal 12 Kawasan Sumber Air Bersih</w:t>
            </w:r>
            <w:r w:rsidRPr="008120BA">
              <w:rPr>
                <w:rFonts w:ascii="Times New Roman" w:eastAsia="Times New Roman" w:hAnsi="Times New Roman" w:cs="Times New Roman"/>
                <w:color w:val="000000"/>
                <w:sz w:val="20"/>
                <w:szCs w:val="20"/>
                <w:lang w:eastAsia="id-ID"/>
              </w:rPr>
              <w:br/>
              <w:t>1) Kawasan sumber air bersih adalah kawasan yang di lindungi oleh masyarakat sebagai kawasan sumber air bersih kampung Long Duhung yang terdapat di Sungai Bluq Glop,</w:t>
            </w:r>
            <w:r w:rsidRPr="008120BA">
              <w:rPr>
                <w:rFonts w:ascii="Times New Roman" w:eastAsia="Times New Roman" w:hAnsi="Times New Roman" w:cs="Times New Roman"/>
                <w:color w:val="000000"/>
                <w:sz w:val="20"/>
                <w:szCs w:val="20"/>
                <w:lang w:eastAsia="id-ID"/>
              </w:rPr>
              <w:br/>
              <w:t>2) Barang siapa dengan sengaja merusak atau mengadakan kegiatan yang berdampak merusak sumber air bersih masyarakat Long Duhung maka akan dikenakan sanksi yang besarnya akan ditentukan menurut musyawarah masyarakat.</w:t>
            </w:r>
          </w:p>
        </w:tc>
      </w:tr>
      <w:tr w:rsidR="008120BA" w:rsidRPr="008120BA" w:rsidTr="008120BA">
        <w:trPr>
          <w:trHeight w:val="229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DIIb2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Aturan Tertulis/Tidak Tertulis</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Aturan dalam bentuk tertulis atau tidak tertulis?</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Dokumen draft perkam pengelolaan SDA di kampung-kampung Hulu Kelay, draft MoU CFM antara masayrakat dan HPH, kesepakatan kampung Hulu </w:t>
            </w:r>
            <w:r w:rsidRPr="008120BA">
              <w:rPr>
                <w:rFonts w:ascii="Times New Roman" w:eastAsia="Times New Roman" w:hAnsi="Times New Roman" w:cs="Times New Roman"/>
                <w:color w:val="000000"/>
                <w:sz w:val="20"/>
                <w:szCs w:val="20"/>
                <w:lang w:eastAsia="id-ID"/>
              </w:rPr>
              <w:lastRenderedPageBreak/>
              <w:t xml:space="preserve">Kelay tentang pertambangan emas ada dalam bentuk tertulis karena proses fasilitasi bersama TNC dan WE.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4</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Ada dalam bentuk tertulis, tapi sosialisasi kepada semua pihak (khususnya dari luar) belum ada sosialisasi sehingga terkadang kaget saat disampaikan.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4</w:t>
            </w:r>
          </w:p>
        </w:tc>
      </w:tr>
      <w:tr w:rsidR="008120BA" w:rsidRPr="008120BA" w:rsidTr="008120BA">
        <w:trPr>
          <w:trHeight w:val="204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DIIb3</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Dokumen Draft perkam pengelolaan SDA di kampung-kampung Hulu Kelay mengatur hal-hal yang diperbolehkan dan tidak diperbolehkan seperti pada Wungun pihak perusahaan HPH dilarang melakukan kegiatan operasional.</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Ya. Sangat jelas mengatur apa yang boleh dan tidak.</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r>
      <w:tr w:rsidR="008120BA" w:rsidRPr="008120BA" w:rsidTr="008120BA">
        <w:trPr>
          <w:trHeight w:val="15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DIIb4</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Bentuk sanksi terhadap pelanggaran aturan</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Sanksi yang dituliskan dalam draft perkam pengelolaan SDA di kampung-kampung Hulu Kelay berupa peringatan dan denda seperti pembayaran ganti-rugi.</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Aturan kampung anakan dari peraturan adat, karena aturan kampung belum sah maka aturan adat yang berlajan. Sanksi berupa denda baik benda maupun uang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4062"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Isu dalam PGA REDD+</w:t>
            </w: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8120BA" w:rsidRPr="008120BA" w:rsidTr="008120BA">
        <w:trPr>
          <w:trHeight w:val="28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78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Anggota/Pengurus-isu keterwakilan perempuan</w:t>
            </w:r>
          </w:p>
        </w:tc>
        <w:tc>
          <w:tcPr>
            <w:tcW w:w="1053"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53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DIIIa1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Pertimbangan yang digunakan memilih wakil (keahlian, keterwakilan gender)</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Apakah pertimbangan yang diguna-kan dalam memilih wakil (keahlian, keterwakilan gender) masyarakat adat/lokal pada lembaga multi stakeholder </w:t>
            </w:r>
            <w:r w:rsidRPr="008120BA">
              <w:rPr>
                <w:rFonts w:ascii="Times New Roman" w:eastAsia="Times New Roman" w:hAnsi="Times New Roman" w:cs="Times New Roman"/>
                <w:color w:val="000000"/>
                <w:sz w:val="20"/>
                <w:szCs w:val="20"/>
                <w:lang w:eastAsia="id-ID"/>
              </w:rPr>
              <w:lastRenderedPageBreak/>
              <w:t>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menjelaskan pertimbangan yang digunakan dalam memilih wakil (keahlian, ketwerakilan gender) masyarakat adat/lokal pada lembaga multi </w:t>
            </w:r>
            <w:r w:rsidRPr="008120BA">
              <w:rPr>
                <w:rFonts w:ascii="Times New Roman" w:eastAsia="Times New Roman" w:hAnsi="Times New Roman" w:cs="Times New Roman"/>
                <w:color w:val="000000"/>
                <w:sz w:val="20"/>
                <w:szCs w:val="20"/>
                <w:lang w:eastAsia="id-ID"/>
              </w:rPr>
              <w:lastRenderedPageBreak/>
              <w:t>stakeholder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lebih kepada pengalaman dan pengetahuan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76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DIIIa2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Mekanisme pemilihan wakil</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menjelaskan mekanisme pemilihan wakil pada  lembaga multi stakeholder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mekanismenya</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DIIIa3</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Forum pemilihan wakil</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forum pemilihan wakil dalam lembaga multi stakeholder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Tidaka ada dokumen menjelaskan forum wakil dalam lembaga multi stakeholder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Pemilihan berdasarkan pada pengalaman dan pengetahuan. Forum-forum di kampung ada tapi secara lebih besar seperti hulu Kelay belum ada.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4062"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Isu dalam PGA REDD+</w:t>
            </w: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37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8120BA" w:rsidRPr="008120BA" w:rsidTr="008120BA">
        <w:trPr>
          <w:trHeight w:val="25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27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DIVa1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Dokumen MoU CFM antara masyarakat Long Duhung dan HPH MIM</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Ada MoU CFM antara masyarakat Long Duhung dan HPH MIM tapi tidak berjalan hingga saat ini</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675"/>
        </w:trPr>
        <w:tc>
          <w:tcPr>
            <w:tcW w:w="974" w:type="dxa"/>
            <w:tcBorders>
              <w:top w:val="nil"/>
              <w:left w:val="nil"/>
              <w:bottom w:val="nil"/>
              <w:right w:val="nil"/>
            </w:tcBorders>
            <w:shd w:val="clear" w:color="000000" w:fill="EEECE1"/>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9911" w:type="dxa"/>
            <w:gridSpan w:val="7"/>
            <w:tcBorders>
              <w:top w:val="single" w:sz="4" w:space="0" w:color="auto"/>
              <w:left w:val="nil"/>
              <w:bottom w:val="nil"/>
              <w:right w:val="nil"/>
            </w:tcBorders>
            <w:shd w:val="clear" w:color="000000" w:fill="EEECE1"/>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Terdapat 4 Kemitraan yang dibangun sebagai model pengelolaan hutan berkelanjutan, yaitu: MoU CFM antara Masyarakat Long Duhung dan PT. MIM, MoU CFM antara Masyarakat Long Lamcin dan PT. AWP, MoU CFM antara BP Segah dan PT. SLJ4, dan Badan Pengelola Kawasan Lindung Sungai Lesan.</w:t>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r>
            <w:r w:rsidRPr="008120BA">
              <w:rPr>
                <w:rFonts w:ascii="Times New Roman" w:eastAsia="Times New Roman" w:hAnsi="Times New Roman" w:cs="Times New Roman"/>
                <w:color w:val="000000"/>
                <w:sz w:val="20"/>
                <w:szCs w:val="20"/>
                <w:lang w:eastAsia="id-ID"/>
              </w:rPr>
              <w:br/>
              <w:t xml:space="preserve">  </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4062"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Isu dalam PGA REDD+</w:t>
            </w: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570"/>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8120BA" w:rsidRPr="008120BA" w:rsidTr="008120BA">
        <w:trPr>
          <w:trHeight w:val="25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278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Organisasi Masyarakat  Adat/Lokal  </w:t>
            </w:r>
          </w:p>
        </w:tc>
        <w:tc>
          <w:tcPr>
            <w:tcW w:w="1053"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Panduan Analisis </w:t>
            </w:r>
            <w:r w:rsidRPr="008120BA">
              <w:rPr>
                <w:rFonts w:ascii="Times New Roman" w:eastAsia="Times New Roman" w:hAnsi="Times New Roman" w:cs="Times New Roman"/>
                <w:b/>
                <w:bCs/>
                <w:color w:val="000000"/>
                <w:sz w:val="20"/>
                <w:szCs w:val="20"/>
                <w:lang w:eastAsia="id-ID"/>
              </w:rPr>
              <w:lastRenderedPageBreak/>
              <w:t>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lastRenderedPageBreak/>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Kategori Data </w:t>
            </w:r>
            <w:r w:rsidRPr="008120BA">
              <w:rPr>
                <w:rFonts w:ascii="Times New Roman" w:eastAsia="Times New Roman" w:hAnsi="Times New Roman" w:cs="Times New Roman"/>
                <w:b/>
                <w:bCs/>
                <w:color w:val="000000"/>
                <w:sz w:val="20"/>
                <w:szCs w:val="20"/>
                <w:lang w:eastAsia="id-ID"/>
              </w:rPr>
              <w:lastRenderedPageBreak/>
              <w:t>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Kategori Data </w:t>
            </w:r>
            <w:r w:rsidRPr="008120BA">
              <w:rPr>
                <w:rFonts w:ascii="Times New Roman" w:eastAsia="Times New Roman" w:hAnsi="Times New Roman" w:cs="Times New Roman"/>
                <w:b/>
                <w:bCs/>
                <w:color w:val="000000"/>
                <w:sz w:val="20"/>
                <w:szCs w:val="20"/>
                <w:lang w:eastAsia="id-ID"/>
              </w:rPr>
              <w:lastRenderedPageBreak/>
              <w:t>Wawancara</w:t>
            </w:r>
          </w:p>
        </w:tc>
      </w:tr>
      <w:tr w:rsidR="008120BA" w:rsidRPr="008120BA" w:rsidTr="008120BA">
        <w:trPr>
          <w:trHeight w:val="204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DVa1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Jumlah pengaduan</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Pengawasan yang dilakukan oleh masyarakat tidak pernah dituliskan, laporan sifatnya hanya lisan yang disampaikan kepada kampung. jika ada pelanggaran tidak melalui surat tapi langsung dengan panggilan  kepada pihak peusahaan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pengawasan yang dilakukan oleh masyarakat berupa pengawasan terhadap kegiatan operational HPH disekitar kampung. Umumnya pengaduan yang dilakukan baru ditingkat kampung jika ada pelanggaran yang dilakukan oleh HPH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204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DVa2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proses pengaduan hingga penyelesaian konflik yang terja tidak pernah dituliskan oleh masyarakat maupun pihak perusahaan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Pengaduan yang dilakukan umumnya mencakup isu perencanaan, hak dan pengelolaan hutan dan lahan gambut. Seperti yang pernah dilakukan PT. MIM menebang di kawasan wungun dan kasawan lindung sekitar kampung maka pihak perusahaan mendapatkan sanksi dengan membayar denda.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4</w:t>
            </w:r>
          </w:p>
        </w:tc>
      </w:tr>
      <w:tr w:rsidR="008120BA" w:rsidRPr="008120BA" w:rsidTr="008120BA">
        <w:trPr>
          <w:trHeight w:val="178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DVa3</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SOP monitoring</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SOP monitoring pelaksanaan kehutan oleh pemerintah, bisnis, dan pihak-pihak non pemerintah karena belum ada monitoring yang dilakukan secara reguler.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dan praktek monitoring yang dilakukan oleh pemerintah sehingga belum ada SOP. Monitoring olah pememerintah baru sejauh dikantor saja sebatas informasi dari pihak perusahaan tidak langsung turun kelapangan.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331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DVa4</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Staf yang khusus ditugaskan melakukan pengawasan</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staf yang khusus ditugaskan melakukan pengawasan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menunjukkan staf khusus ditugaskan untuk melakukan pengawasan karena pengawasannya sifatnya situsional tidak secara regular dilakukan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staf khusus yang ditugaskan melakukan pengawasan. Masyarakat beranggapan bahwa staf pemerintah yang melakukan pengawan kepada perusahaan belum memiliki kualifikasi yang diharapkan. ini disebabkan jika ada pengawasan yang dilakukan oleh pemerintah hanya di kantor atau di kamp saja tidak sampai dengan lapangan. Mungkin secara pengetahuan sudah memadai tapi transparansi dan kejujuran masih dipertanyakan.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58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8120BA" w:rsidRPr="008120BA" w:rsidTr="008120BA">
        <w:trPr>
          <w:trHeight w:val="25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3839"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Organisasi Masyarakat  Adat/Lokal  (Pelaksanaan Aturan)</w:t>
            </w: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408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DVb1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Aturan Tertulis/Tidak Tertulis</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Penyusunan Perkam tentang pengelolaan SDA dilakukan pada tahun 2005. Dalam perkam menyajikan pemanfaatan terhadap SDA baik hutan dan sungai. Penyusunan perkam ini sudah sampai penyerahan kepada bagian hukum pemda namun belum ada tanggapan terhadap isi peraturan </w:t>
            </w:r>
            <w:r w:rsidRPr="008120BA">
              <w:rPr>
                <w:rFonts w:ascii="Times New Roman" w:eastAsia="Times New Roman" w:hAnsi="Times New Roman" w:cs="Times New Roman"/>
                <w:color w:val="000000"/>
                <w:sz w:val="20"/>
                <w:szCs w:val="20"/>
                <w:lang w:eastAsia="id-ID"/>
              </w:rPr>
              <w:lastRenderedPageBreak/>
              <w:t>tersebut. selain itu hal ini juga pernah dilokakaryakan ditingkat kampung dengan mengundang parapihak yang ada tapi sampai sekarang juga belum mendapatkan tanggapan.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Draft perkam pemanfaatan SDA secara tertulis ada tapi belum ada pengakuan sampai dari parapihak lain</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r>
      <w:tr w:rsidR="008120BA" w:rsidRPr="008120BA" w:rsidTr="008120BA">
        <w:trPr>
          <w:trHeight w:val="306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DVb2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Sangat jelas mengatur hal-hal yang diperbolehkan dan tidak diperbolehkan sebagai salah satu contoh untuk aturan kawasan lindung kampung berbunyai: 1. Daerah berburu masyarakat kampung Long Duhung adalah Sungai Belu Nyiu, Sungai Goang, Sungai Tel’ung dan Sungai Bang. 2. Pihak manapun tidak diperbolehkan mengganggu daerah berburu masyarakat,</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Ya, jelas tertulis apa yang boleh dan tidak boleh dalam perkam pengelollan SDA di kampung-kampung Hulu Kelay</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r>
      <w:tr w:rsidR="008120BA" w:rsidRPr="008120BA" w:rsidTr="008120BA">
        <w:trPr>
          <w:trHeight w:val="255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DVb3</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Bentuk sanksi terhadap pelanggaran aturan</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Sanksi terhadap pelanggaran berdasarkan perkam sangat tinggi dendanya. Masyarakat beranggapan jika memberikan denda yang tinggi pihak perusahaan tidak akan melanggar aturan yang ada. Namun kenyataanya denda tersebut dapatdinegosiasikan nilainya saat </w:t>
            </w:r>
            <w:r w:rsidRPr="008120BA">
              <w:rPr>
                <w:rFonts w:ascii="Times New Roman" w:eastAsia="Times New Roman" w:hAnsi="Times New Roman" w:cs="Times New Roman"/>
                <w:color w:val="000000"/>
                <w:sz w:val="20"/>
                <w:szCs w:val="20"/>
                <w:lang w:eastAsia="id-ID"/>
              </w:rPr>
              <w:lastRenderedPageBreak/>
              <w:t>penyelesaian konflik.</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5</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Sanksi berupa aturan positif berupa penyitaan barang dan didenda berupa uang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5</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255"/>
        </w:trPr>
        <w:tc>
          <w:tcPr>
            <w:tcW w:w="4062" w:type="dxa"/>
            <w:gridSpan w:val="3"/>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Isu dalam PGA REDD+</w:t>
            </w:r>
          </w:p>
        </w:tc>
        <w:tc>
          <w:tcPr>
            <w:tcW w:w="5441" w:type="dxa"/>
            <w:gridSpan w:val="4"/>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61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8120BA" w:rsidRPr="008120BA" w:rsidTr="008120BA">
        <w:trPr>
          <w:trHeight w:val="31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6823" w:type="dxa"/>
            <w:gridSpan w:val="5"/>
            <w:tcBorders>
              <w:top w:val="nil"/>
              <w:left w:val="nil"/>
              <w:bottom w:val="single" w:sz="4" w:space="0" w:color="auto"/>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500"/>
        </w:trPr>
        <w:tc>
          <w:tcPr>
            <w:tcW w:w="9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DVIa1</w:t>
            </w:r>
          </w:p>
        </w:tc>
        <w:tc>
          <w:tcPr>
            <w:tcW w:w="15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Kehadiran</w:t>
            </w:r>
          </w:p>
        </w:tc>
        <w:tc>
          <w:tcPr>
            <w:tcW w:w="1526"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Kehutanan</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yang diberikan terkait kehadiran masyarakat adat/ lokal dalam satuan tugas REDD+ yang dibentuk oleh Pemerintah Pusat dan Daerah </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4260"/>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Berdasarkan Renstra PKHB pada Struktur Pengelolaan Program susunan Dewan Pengarah Program akan langsung dipimpin oleh Bupati Berau dan selain beranggotakan beberapa pejabat Satuan Kerja Perangkat Daerah terkait pada tingkat kabupaten, Dewan Pengarah Program juga akan didukung oleh pejabat setingkat Direktur</w:t>
            </w:r>
            <w:r w:rsidRPr="008120BA">
              <w:rPr>
                <w:rFonts w:ascii="Times New Roman" w:eastAsia="Times New Roman" w:hAnsi="Times New Roman" w:cs="Times New Roman"/>
                <w:color w:val="000000"/>
                <w:sz w:val="20"/>
                <w:szCs w:val="20"/>
                <w:lang w:eastAsia="id-ID"/>
              </w:rPr>
              <w:br/>
              <w:t xml:space="preserve">pada Bappenas, Kementrian Luar Negeri, Kementrian Kehutanan, </w:t>
            </w:r>
            <w:r w:rsidRPr="008120BA">
              <w:rPr>
                <w:rFonts w:ascii="Times New Roman" w:eastAsia="Times New Roman" w:hAnsi="Times New Roman" w:cs="Times New Roman"/>
                <w:color w:val="000000"/>
                <w:sz w:val="20"/>
                <w:szCs w:val="20"/>
                <w:lang w:eastAsia="id-ID"/>
              </w:rPr>
              <w:lastRenderedPageBreak/>
              <w:t>Kementrian</w:t>
            </w:r>
            <w:r w:rsidRPr="008120BA">
              <w:rPr>
                <w:rFonts w:ascii="Times New Roman" w:eastAsia="Times New Roman" w:hAnsi="Times New Roman" w:cs="Times New Roman"/>
                <w:color w:val="000000"/>
                <w:sz w:val="20"/>
                <w:szCs w:val="20"/>
                <w:lang w:eastAsia="id-ID"/>
              </w:rPr>
              <w:br/>
              <w:t>Lingkungan Hidup dan Asisten Gubernur Kalimantan Timur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3</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Belum ada, sejauh ini kurang memadai untuk kehadiran masyarakat adat/lokal dalam satuan tugas REDD+ di kabupaten Berau ditambah lagi belum ada perwalikan masyarakat yang duduk dalam Pokja REDD+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2</w:t>
            </w:r>
          </w:p>
        </w:tc>
      </w:tr>
      <w:tr w:rsidR="008120BA" w:rsidRPr="008120BA" w:rsidTr="008120BA">
        <w:trPr>
          <w:trHeight w:val="5955"/>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Dalam Renstra PKHB terdapat Unit Pelaksana Kegiatan terdiri dari LPM (Lembaga Pemberdayaan Masyarakat di</w:t>
            </w:r>
            <w:r w:rsidRPr="008120BA">
              <w:rPr>
                <w:rFonts w:ascii="Times New Roman" w:eastAsia="Times New Roman" w:hAnsi="Times New Roman" w:cs="Times New Roman"/>
                <w:color w:val="000000"/>
                <w:sz w:val="20"/>
                <w:szCs w:val="20"/>
                <w:lang w:eastAsia="id-ID"/>
              </w:rPr>
              <w:br/>
              <w:t>tingkat desa/kampung), UPTD (Unit Pelaksana Teknis Daerah), LSM/KSM (Lembaga/ Kelompok Swadaya Masyarakat, konsultan/sub-kontraktor dan para</w:t>
            </w:r>
            <w:r w:rsidRPr="008120BA">
              <w:rPr>
                <w:rFonts w:ascii="Times New Roman" w:eastAsia="Times New Roman" w:hAnsi="Times New Roman" w:cs="Times New Roman"/>
                <w:color w:val="000000"/>
                <w:sz w:val="20"/>
                <w:szCs w:val="20"/>
                <w:lang w:eastAsia="id-ID"/>
              </w:rPr>
              <w:br/>
              <w:t>pengelola lahan yang akan turut terlibat dalam pelaksanaan berbagai strategi program karbon hutan di Berau, pemegang IUPHHK, pengelola Hutan Hak,</w:t>
            </w:r>
            <w:r w:rsidRPr="008120BA">
              <w:rPr>
                <w:rFonts w:ascii="Times New Roman" w:eastAsia="Times New Roman" w:hAnsi="Times New Roman" w:cs="Times New Roman"/>
                <w:color w:val="000000"/>
                <w:sz w:val="20"/>
                <w:szCs w:val="20"/>
                <w:lang w:eastAsia="id-ID"/>
              </w:rPr>
              <w:br/>
              <w:t>pengelola Hutan Adat, KPH dan pemerintah daerah. namun unit pelaksana kegiatan belum ada hingga saat ini.</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3</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perwakilan masayrakat dalam satgas REDD+ baik didaerah maupun di pusat. Kehadiran masyarakat sifatnya hanya berupa undangan sebagai partisipan kegiatan saja</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500"/>
        </w:trPr>
        <w:tc>
          <w:tcPr>
            <w:tcW w:w="9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DVIa2</w:t>
            </w:r>
          </w:p>
        </w:tc>
        <w:tc>
          <w:tcPr>
            <w:tcW w:w="15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Bentuk peran</w:t>
            </w:r>
          </w:p>
        </w:tc>
        <w:tc>
          <w:tcPr>
            <w:tcW w:w="1526"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Kehutanan</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diberikan terkait bentuk peran masyarakat adat/ lokal dalam satuan tugas REDD+ yang dibentuk oleh Pemerintah Pusat dan Daerah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3840"/>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Secara jelas tidak ada dokumen yang menuliskan bentuk peran masyarakat namun terdapat berbagai laporan studi yang dilakukan untuk tingkat tapak, seperti: Laporan masyarakat kampung di kabupaten berau dan rekomendasi keterlibatannya dalam skema pengurangan emisi dari deforestasi dan degradasi hutan (REDD), laporan konsultasi masyarakat dan strategi penjangkauan masyarkat tentang PKHB</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3</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Sejauh ini peran masyarakat belum ada. Umumnya mereka hanya sebatas partisipan/ undangan saja dalam pertemuan-pertemuan REDD+</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4515"/>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Struktur Badan Pengarah PKHB terdiri dari Pemerintah Kabupaten, Pemerintah Propinsi, Pemerintah Pusat dan masyarakat/ donor namun sejauh ini  Dewan Pengarah Program terdiri dari Bupati Berau dan selain beranggotakan beberapa pejabat Satuan Kerja Perangkat Daerah terkait pada tingkat </w:t>
            </w:r>
            <w:r w:rsidRPr="008120BA">
              <w:rPr>
                <w:rFonts w:ascii="Times New Roman" w:eastAsia="Times New Roman" w:hAnsi="Times New Roman" w:cs="Times New Roman"/>
                <w:color w:val="000000"/>
                <w:sz w:val="20"/>
                <w:szCs w:val="20"/>
                <w:lang w:eastAsia="id-ID"/>
              </w:rPr>
              <w:lastRenderedPageBreak/>
              <w:t>kabupaten, Dewan Pengarah Program juga akan didukung oleh pejabat setingkat Direktur pada Bappenas, Kementrian Luar Negeri, Kementrian Kehutanan, Kementrian Lingkungan Hidup dan Asisten Gubernur Kalimantan Timur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3</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Disampaikan bahwa sampai dengan sejauh ini belum ada bentuk peran masyarakat adat/ lokal dalam satgas REDD+ karena peran masyarakat secara tertulis belum ada sehingga dirasa belum jelas secara teknis atau aturan. Kehadiran hanya sekali-kali saja saat diundang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695"/>
        </w:trPr>
        <w:tc>
          <w:tcPr>
            <w:tcW w:w="9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DVIa3</w:t>
            </w:r>
          </w:p>
        </w:tc>
        <w:tc>
          <w:tcPr>
            <w:tcW w:w="15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Besaran pengaruh</w:t>
            </w:r>
          </w:p>
        </w:tc>
        <w:tc>
          <w:tcPr>
            <w:tcW w:w="1526" w:type="dxa"/>
            <w:vMerge w:val="restart"/>
            <w:tcBorders>
              <w:top w:val="nil"/>
              <w:left w:val="single" w:sz="4" w:space="0" w:color="auto"/>
              <w:bottom w:val="single" w:sz="4" w:space="0" w:color="000000"/>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Kehutanan</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yang diberikan terkait besaran pengaruh masyarakat adat/ lokal dalam satuan tugas REDD+ yang dibentuk oleh pemerintah pusat dan daerah</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3750"/>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Secara jelas tidak ada dokumen yang menuliskan bentuk peran masyarakat namun terdapat berbagai laporan studi yang dilakukan untuk tingkat tapak, seperti: Laporan masyarakat kampung di kabupaten berau dan rekomendasi keterlibatannya dalam skema pengurangan emisi dari deforestasi dan degradasi hutan (REDD), laporan konsultasi masyarakat dan strategi penjangkauan masyarkat tentang PKHB</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3</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masayrakat hanya sebatas partisipan saja workshop REDD+</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4650"/>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Struktur Badan Pengarah PKHB terdiri dari Pemerintah Kabupaten, Pemerintah Propinsi, Pemerintah Pusat dan masyarakat/ donor namun sejauh ini  Dewan Pengarah Program terdiri dari Bupati Berau dan selain beranggotakan beberapa pejabat Satuan Kerja Perangkat Daerah terkait pada tingkat kabupaten, Dewan Pengarah Program juga akan didukung oleh pejabat setingkat Direktur pada Bappenas, Kementrian Luar Negeri, Kementrian Kehutanan, Kementrian Lingkungan Hidup dan Asisten Gubernur Kalimantan Timur</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3</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Pengaruh ada ketika menghadiri undangan tentang REDD yaitu dengan memberikan masukan-masukan manjadi salah satu pertimbangan. Namun belum memadai karena sejauh ini hak-hak dan peran masyarakat dalam pengelolaan SDA belum diakui.</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64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8120BA" w:rsidRPr="008120BA" w:rsidTr="008120BA">
        <w:trPr>
          <w:trHeight w:val="360"/>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6823" w:type="dxa"/>
            <w:gridSpan w:val="5"/>
            <w:tcBorders>
              <w:top w:val="nil"/>
              <w:left w:val="nil"/>
              <w:bottom w:val="single" w:sz="4" w:space="0" w:color="auto"/>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Organisasi Masyarakat Adat/Lokal (Pengurus)</w:t>
            </w: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178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DVIb1</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8120BA">
              <w:rPr>
                <w:rFonts w:ascii="Times New Roman" w:eastAsia="Times New Roman" w:hAnsi="Times New Roman" w:cs="Times New Roman"/>
                <w:i/>
                <w:iCs/>
                <w:color w:val="000000"/>
                <w:sz w:val="20"/>
                <w:szCs w:val="20"/>
                <w:lang w:eastAsia="id-ID"/>
              </w:rPr>
              <w:t>project development design</w:t>
            </w:r>
            <w:r w:rsidRPr="008120BA">
              <w:rPr>
                <w:rFonts w:ascii="Times New Roman" w:eastAsia="Times New Roman" w:hAnsi="Times New Roman" w:cs="Times New Roman"/>
                <w:color w:val="000000"/>
                <w:sz w:val="20"/>
                <w:szCs w:val="20"/>
                <w:lang w:eastAsia="id-ID"/>
              </w:rPr>
              <w:t xml:space="preserve"> REDD+ sudah </w:t>
            </w:r>
            <w:r w:rsidRPr="008120BA">
              <w:rPr>
                <w:rFonts w:ascii="Times New Roman" w:eastAsia="Times New Roman" w:hAnsi="Times New Roman" w:cs="Times New Roman"/>
                <w:color w:val="000000"/>
                <w:sz w:val="20"/>
                <w:szCs w:val="20"/>
                <w:lang w:eastAsia="id-ID"/>
              </w:rPr>
              <w:lastRenderedPageBreak/>
              <w:t>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Tidak ada dokumen  terkait jumlah pengurus atau anggota masyarakat adat/ lokak yang memiliki keterampilan menyusun project development design REDD+ karena belum </w:t>
            </w:r>
            <w:r w:rsidRPr="008120BA">
              <w:rPr>
                <w:rFonts w:ascii="Times New Roman" w:eastAsia="Times New Roman" w:hAnsi="Times New Roman" w:cs="Times New Roman"/>
                <w:color w:val="000000"/>
                <w:sz w:val="20"/>
                <w:szCs w:val="20"/>
                <w:lang w:eastAsia="id-ID"/>
              </w:rPr>
              <w:lastRenderedPageBreak/>
              <w:t>pernah terlibat</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Masayrakat hanya diundang dalam kegiatan dan diskusi untuk persiapan REDD+ seperti ada pertemuan untruk pembahasan di tingkat masayrakat.</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2040"/>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DVIb2</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Sertifikat/Bukti Keikutsertaan pelatihan project development design (PDD)</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8120BA">
              <w:rPr>
                <w:rFonts w:ascii="Times New Roman" w:eastAsia="Times New Roman" w:hAnsi="Times New Roman" w:cs="Times New Roman"/>
                <w:i/>
                <w:iCs/>
                <w:color w:val="000000"/>
                <w:sz w:val="20"/>
                <w:szCs w:val="20"/>
                <w:lang w:eastAsia="id-ID"/>
              </w:rPr>
              <w:t xml:space="preserve">project development design </w:t>
            </w:r>
            <w:r w:rsidRPr="008120BA">
              <w:rPr>
                <w:rFonts w:ascii="Times New Roman" w:eastAsia="Times New Roman" w:hAnsi="Times New Roman" w:cs="Times New Roman"/>
                <w:color w:val="000000"/>
                <w:sz w:val="20"/>
                <w:szCs w:val="20"/>
                <w:lang w:eastAsia="id-ID"/>
              </w:rPr>
              <w:t>(PDD)?</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terkait  pengurus atau anggota organisasi masyarakat adat/ lokak yang memiliki sertifikat/ bukti keikutsertaan pelatihan project development design REDD+ karena belum pernah terlibat</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keterampilan secara formal masyarakat belum ada seperti pendidikan belum ada. Juga belum pernah diikutkan pelatihan, kursus atau magang.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785"/>
        </w:trPr>
        <w:tc>
          <w:tcPr>
            <w:tcW w:w="974"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DVIb3</w:t>
            </w:r>
          </w:p>
        </w:tc>
        <w:tc>
          <w:tcPr>
            <w:tcW w:w="156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Pengalaman kerja dalam penyusunan PDD REDD+ </w:t>
            </w:r>
          </w:p>
        </w:tc>
        <w:tc>
          <w:tcPr>
            <w:tcW w:w="1526"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Tidak ada dokumen  terkait  pengurus atau anggota organisasi masyarakat adat/ lokak yang memiliki pengalaman kerja dalam penyusunanproject development design REDD+ karena belum pernah terlibat</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Belum ada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255"/>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26"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598"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053" w:type="dxa"/>
            <w:tcBorders>
              <w:top w:val="nil"/>
              <w:left w:val="nil"/>
              <w:bottom w:val="nil"/>
              <w:right w:val="nil"/>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p>
        </w:tc>
      </w:tr>
      <w:tr w:rsidR="008120BA" w:rsidRPr="008120BA" w:rsidTr="008120BA">
        <w:trPr>
          <w:trHeight w:val="630"/>
        </w:trPr>
        <w:tc>
          <w:tcPr>
            <w:tcW w:w="974"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Indikator</w:t>
            </w:r>
          </w:p>
        </w:tc>
        <w:tc>
          <w:tcPr>
            <w:tcW w:w="156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6823" w:type="dxa"/>
            <w:gridSpan w:val="5"/>
            <w:tcBorders>
              <w:top w:val="nil"/>
              <w:left w:val="nil"/>
              <w:bottom w:val="nil"/>
              <w:right w:val="nil"/>
            </w:tcBorders>
            <w:shd w:val="clear" w:color="auto" w:fill="auto"/>
            <w:vAlign w:val="center"/>
            <w:hideMark/>
          </w:tcPr>
          <w:p w:rsidR="008120BA" w:rsidRPr="008120BA" w:rsidRDefault="008120BA" w:rsidP="008120BA">
            <w:pPr>
              <w:spacing w:after="24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8120BA" w:rsidRPr="008120BA" w:rsidTr="008120BA">
        <w:trPr>
          <w:trHeight w:val="255"/>
        </w:trPr>
        <w:tc>
          <w:tcPr>
            <w:tcW w:w="2536" w:type="dxa"/>
            <w:gridSpan w:val="2"/>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Wawancara - Sumber informasi</w:t>
            </w:r>
          </w:p>
        </w:tc>
        <w:tc>
          <w:tcPr>
            <w:tcW w:w="1526"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p>
        </w:tc>
        <w:tc>
          <w:tcPr>
            <w:tcW w:w="6823" w:type="dxa"/>
            <w:gridSpan w:val="5"/>
            <w:tcBorders>
              <w:top w:val="nil"/>
              <w:left w:val="nil"/>
              <w:bottom w:val="single" w:sz="4" w:space="0" w:color="auto"/>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 Organisasi Masyarakat Adat/Lokal, Satgas REDD+</w:t>
            </w:r>
          </w:p>
        </w:tc>
      </w:tr>
      <w:tr w:rsidR="008120BA" w:rsidRPr="008120BA" w:rsidTr="008120BA">
        <w:trPr>
          <w:trHeight w:val="510"/>
        </w:trPr>
        <w:tc>
          <w:tcPr>
            <w:tcW w:w="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Kode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Panduan Analisis Dokumen</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Pertanyaan Wawancara</w:t>
            </w: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Sumber Data</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Dokumen</w:t>
            </w:r>
          </w:p>
        </w:tc>
        <w:tc>
          <w:tcPr>
            <w:tcW w:w="1053"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Dokumen</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b/>
                <w:bCs/>
                <w:color w:val="000000"/>
                <w:sz w:val="20"/>
                <w:szCs w:val="20"/>
                <w:lang w:eastAsia="id-ID"/>
              </w:rPr>
            </w:pPr>
            <w:r w:rsidRPr="008120BA">
              <w:rPr>
                <w:rFonts w:ascii="Times New Roman" w:eastAsia="Times New Roman" w:hAnsi="Times New Roman" w:cs="Times New Roman"/>
                <w:b/>
                <w:bCs/>
                <w:color w:val="000000"/>
                <w:sz w:val="20"/>
                <w:szCs w:val="20"/>
                <w:lang w:eastAsia="id-ID"/>
              </w:rPr>
              <w:t>Kategori Data Wawancara</w:t>
            </w:r>
          </w:p>
        </w:tc>
      </w:tr>
      <w:tr w:rsidR="008120BA" w:rsidRPr="008120BA" w:rsidTr="008120BA">
        <w:trPr>
          <w:trHeight w:val="4845"/>
        </w:trPr>
        <w:tc>
          <w:tcPr>
            <w:tcW w:w="9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DVIc1</w:t>
            </w:r>
          </w:p>
        </w:tc>
        <w:tc>
          <w:tcPr>
            <w:tcW w:w="1562"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Belum ada, hingga saat ini belum ada masyarakat adat/ lokal yang melakukan pemantauan dalam pelaksanaan prinsip-prinsip dan mekanisme FPIC di kabupaten Berau. </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1275"/>
        </w:trPr>
        <w:tc>
          <w:tcPr>
            <w:tcW w:w="974"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 </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nil"/>
              <w:right w:val="nil"/>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monitoring tentang itu. FPIC. Masyarakat belum tahu apa itu FPIC. REDD sudah banyak disosialisasikan tapi anakan dari itu belum ada disosialisasikan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4845"/>
        </w:trPr>
        <w:tc>
          <w:tcPr>
            <w:tcW w:w="9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DVIc2</w:t>
            </w:r>
          </w:p>
        </w:tc>
        <w:tc>
          <w:tcPr>
            <w:tcW w:w="1562"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Prosedur Pemantauan</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Prosedur Pemantauan sudah memadai?</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prosedur pemantauan untuk pelaksanaan prinsip-prinsip dan mekanisme FPIC di organisasi masyarakat kampung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4845"/>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w:t>
            </w:r>
            <w:r w:rsidRPr="008120BA">
              <w:rPr>
                <w:rFonts w:ascii="Times New Roman" w:eastAsia="Times New Roman" w:hAnsi="Times New Roman" w:cs="Times New Roman"/>
                <w:color w:val="000000"/>
                <w:sz w:val="20"/>
                <w:szCs w:val="20"/>
                <w:lang w:eastAsia="id-ID"/>
              </w:rPr>
              <w:lastRenderedPageBreak/>
              <w:t>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 </w:t>
            </w: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4845"/>
        </w:trPr>
        <w:tc>
          <w:tcPr>
            <w:tcW w:w="9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DVIc3</w:t>
            </w:r>
          </w:p>
        </w:tc>
        <w:tc>
          <w:tcPr>
            <w:tcW w:w="1562"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Kode etik </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Kode etik pemantauan sudah memadai?</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kode itik dalam pemantauan untuk pelaksanaan prinsip-prinsip dan mekanisme FPIC di organisasi masyarakat kampung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4845"/>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nil"/>
              <w:right w:val="nil"/>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r>
      <w:tr w:rsidR="008120BA" w:rsidRPr="008120BA" w:rsidTr="008120BA">
        <w:trPr>
          <w:trHeight w:val="4845"/>
        </w:trPr>
        <w:tc>
          <w:tcPr>
            <w:tcW w:w="9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DVIc4</w:t>
            </w:r>
          </w:p>
        </w:tc>
        <w:tc>
          <w:tcPr>
            <w:tcW w:w="1562"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Mekanisme pemantauan</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Apakah Mekanisme pemantauan sudah memadai?</w:t>
            </w:r>
          </w:p>
        </w:tc>
        <w:tc>
          <w:tcPr>
            <w:tcW w:w="1188"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Satgas REDD+</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xml:space="preserve">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w:t>
            </w:r>
            <w:r w:rsidRPr="008120BA">
              <w:rPr>
                <w:rFonts w:ascii="Times New Roman" w:eastAsia="Times New Roman" w:hAnsi="Times New Roman" w:cs="Times New Roman"/>
                <w:color w:val="000000"/>
                <w:sz w:val="20"/>
                <w:szCs w:val="20"/>
                <w:lang w:eastAsia="id-ID"/>
              </w:rPr>
              <w:lastRenderedPageBreak/>
              <w:t>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lastRenderedPageBreak/>
              <w:t> </w:t>
            </w: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 kode itik dalam pemantauan untuk pelaksanaan prinsip-prinsip dan mekanisme FPIC di organisasi masyarakat kampung</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r w:rsidR="008120BA" w:rsidRPr="008120BA" w:rsidTr="008120BA">
        <w:trPr>
          <w:trHeight w:val="4845"/>
        </w:trPr>
        <w:tc>
          <w:tcPr>
            <w:tcW w:w="974" w:type="dxa"/>
            <w:vMerge/>
            <w:tcBorders>
              <w:top w:val="nil"/>
              <w:left w:val="single" w:sz="4" w:space="0" w:color="auto"/>
              <w:bottom w:val="single" w:sz="4" w:space="0" w:color="000000"/>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62"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526" w:type="dxa"/>
            <w:vMerge/>
            <w:tcBorders>
              <w:top w:val="nil"/>
              <w:left w:val="single" w:sz="4" w:space="0" w:color="auto"/>
              <w:bottom w:val="single" w:sz="4" w:space="0" w:color="auto"/>
              <w:right w:val="single" w:sz="4" w:space="0" w:color="auto"/>
            </w:tcBorders>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p>
        </w:tc>
        <w:tc>
          <w:tcPr>
            <w:tcW w:w="118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Organisasi Masyarakat Adat Lokal</w:t>
            </w:r>
          </w:p>
        </w:tc>
        <w:tc>
          <w:tcPr>
            <w:tcW w:w="1598" w:type="dxa"/>
            <w:tcBorders>
              <w:top w:val="nil"/>
              <w:left w:val="nil"/>
              <w:bottom w:val="single" w:sz="4" w:space="0" w:color="auto"/>
              <w:right w:val="single" w:sz="4" w:space="0" w:color="auto"/>
            </w:tcBorders>
            <w:shd w:val="clear" w:color="auto" w:fill="auto"/>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Dalam dokumen terkait masyarakat seperti Strategi penjangkauan tentang PKHB di beberapa kampung kabupaten Berau dan Laporan masyarakat kampung di kabupaten berau daan rekomendasi keterlibatannya dalam skema pengurangan emisi dari deforestasi dan degradasi hutan (REDD) belum menjelaskan secara terkait organisasi masyarakat adat/ lokal dalam melakukan pemantauan pelaksanaan prinsip-prinsip dan mekanisme FPIC. Dokumen hanya menjelaskan perlunya keterlibatan masyarakat dalam skema REDD</w:t>
            </w:r>
          </w:p>
        </w:tc>
        <w:tc>
          <w:tcPr>
            <w:tcW w:w="1053" w:type="dxa"/>
            <w:tcBorders>
              <w:top w:val="nil"/>
              <w:left w:val="nil"/>
              <w:bottom w:val="single" w:sz="4" w:space="0" w:color="auto"/>
              <w:right w:val="single" w:sz="4" w:space="0" w:color="auto"/>
            </w:tcBorders>
            <w:shd w:val="clear" w:color="000000" w:fill="FFFF00"/>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 </w:t>
            </w:r>
          </w:p>
        </w:tc>
        <w:tc>
          <w:tcPr>
            <w:tcW w:w="160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8120BA" w:rsidRPr="008120BA" w:rsidRDefault="008120BA" w:rsidP="008120BA">
            <w:pPr>
              <w:spacing w:after="0" w:line="240" w:lineRule="auto"/>
              <w:jc w:val="center"/>
              <w:rPr>
                <w:rFonts w:ascii="Times New Roman" w:eastAsia="Times New Roman" w:hAnsi="Times New Roman" w:cs="Times New Roman"/>
                <w:color w:val="000000"/>
                <w:sz w:val="20"/>
                <w:szCs w:val="20"/>
                <w:lang w:eastAsia="id-ID"/>
              </w:rPr>
            </w:pPr>
            <w:r w:rsidRPr="008120BA">
              <w:rPr>
                <w:rFonts w:ascii="Times New Roman" w:eastAsia="Times New Roman" w:hAnsi="Times New Roman" w:cs="Times New Roman"/>
                <w:color w:val="000000"/>
                <w:sz w:val="20"/>
                <w:szCs w:val="20"/>
                <w:lang w:eastAsia="id-ID"/>
              </w:rPr>
              <w:t>1</w:t>
            </w:r>
          </w:p>
        </w:tc>
      </w:tr>
    </w:tbl>
    <w:p w:rsidR="008120BA" w:rsidRDefault="008120BA"/>
    <w:sectPr w:rsidR="008120B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7E5477"/>
    <w:rsid w:val="008120BA"/>
    <w:rsid w:val="009F3E98"/>
    <w:rsid w:val="00A74D82"/>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8120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2">
    <w:name w:val="xl112"/>
    <w:basedOn w:val="Normal"/>
    <w:rsid w:val="008120B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3">
    <w:name w:val="xl113"/>
    <w:basedOn w:val="Normal"/>
    <w:rsid w:val="008120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08307374">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96823566">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24</Pages>
  <Words>5390</Words>
  <Characters>30728</Characters>
  <Application>Microsoft Office Word</Application>
  <DocSecurity>0</DocSecurity>
  <Lines>256</Lines>
  <Paragraphs>72</Paragraphs>
  <ScaleCrop>false</ScaleCrop>
  <Company/>
  <LinksUpToDate>false</LinksUpToDate>
  <CharactersWithSpaces>36046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2012-10-16T04:02:00Z</dcterms:modified>
</cp:coreProperties>
</file>